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一高油酸型"/>
      <w:bookmarkStart w:id="1" w:name="种食用油详细说明完整版"/>
      <w:r>
        <w:rPr>
          <w:color w:val="000000" w:themeColor="text1"/>
          <w14:textFill>
            <w14:solidFill>
              <w14:schemeClr w14:val="tx1"/>
            </w14:solidFill>
          </w14:textFill>
        </w:rPr>
        <w:t>橄榄油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：单不饱和脂肪酸（油酸55%-83%）、多酚抗氧化剂。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：保护心血管、抗氧化抗衰老、改善胰岛素敏感性。烟点230℃（精炼）。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：凉拌、低温炒菜（精炼橄榄油可高温烹饪）。</w:t>
      </w:r>
    </w:p>
    <w:p>
      <w:pPr>
        <w:pStyle w:val="5"/>
        <w:numPr>
          <w:ilvl w:val="0"/>
          <w:numId w:val="1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茶籽油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：油酸（78%-86%）、茶多酚、维生素E。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：抗氧化、消炎，被誉为“东方橄榄油”。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：煎炒、凉拌。</w:t>
      </w:r>
    </w:p>
    <w:p>
      <w:pPr>
        <w:pStyle w:val="5"/>
        <w:numPr>
          <w:ilvl w:val="0"/>
          <w:numId w:val="1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菜籽油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：α-亚麻酸（1%-10%）、维生素K。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：改善心脑血管健康，需与高亚油酸油搭配。</w:t>
      </w:r>
    </w:p>
    <w:bookmarkEnd w:id="0"/>
    <w:p>
      <w:pPr>
        <w:pStyle w:val="5"/>
        <w:numPr>
          <w:ilvl w:val="0"/>
          <w:numId w:val="3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二高亚油酸型"/>
      <w:r>
        <w:rPr>
          <w:color w:val="000000" w:themeColor="text1"/>
          <w14:textFill>
            <w14:solidFill>
              <w14:schemeClr w14:val="tx1"/>
            </w14:solidFill>
          </w14:textFill>
        </w:rPr>
        <w:t>大豆油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：亚油酸（50%-60%）、维生素E。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：降低胆固醇，预防心血管疾病。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：普通炒菜，避免高温油炸。</w:t>
      </w:r>
    </w:p>
    <w:p>
      <w:pPr>
        <w:pStyle w:val="5"/>
        <w:numPr>
          <w:ilvl w:val="0"/>
          <w:numId w:val="3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玉米油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：维生素E、植物甾醇、亚油酸（50%-60%）。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：辅助降胆固醇，烟点200℃。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：煎炸、炒菜。</w:t>
      </w:r>
    </w:p>
    <w:p>
      <w:pPr>
        <w:pStyle w:val="5"/>
        <w:numPr>
          <w:ilvl w:val="0"/>
          <w:numId w:val="3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葵花籽油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：亚油酸（寒冷地区70%，温暖地区20%）、维生素E。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：降低胆固醇，适合高血压人群。</w:t>
      </w:r>
    </w:p>
    <w:bookmarkEnd w:id="2"/>
    <w:p>
      <w:pPr>
        <w:pStyle w:val="5"/>
        <w:numPr>
          <w:ilvl w:val="0"/>
          <w:numId w:val="4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三高亚麻酸型"/>
      <w:r>
        <w:rPr>
          <w:color w:val="000000" w:themeColor="text1"/>
          <w14:textFill>
            <w14:solidFill>
              <w14:schemeClr w14:val="tx1"/>
            </w14:solidFill>
          </w14:textFill>
        </w:rPr>
        <w:t>亚麻籽油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：α-亚麻酸（44%-61%）。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：抗炎、增强脑功能，烟点低（107℃）。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：凉拌、低温烹饪，不可加热。</w:t>
      </w:r>
    </w:p>
    <w:p>
      <w:pPr>
        <w:pStyle w:val="5"/>
        <w:numPr>
          <w:ilvl w:val="0"/>
          <w:numId w:val="4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紫苏籽油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：α-亚麻酸（60%-68%）、酚酸、植物甾醇。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：抗过敏、抗癌、促进婴幼儿大脑发育。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：凉拌、低温调味，避免加热 。</w:t>
      </w:r>
    </w:p>
    <w:p>
      <w:pPr>
        <w:pStyle w:val="5"/>
        <w:numPr>
          <w:ilvl w:val="0"/>
          <w:numId w:val="4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核桃油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：α-亚麻酸（7.7%）、亚油酸。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：促进神经发育，保护心血管。</w:t>
      </w:r>
      <w:bookmarkEnd w:id="3"/>
      <w:bookmarkStart w:id="4" w:name="四均衡型"/>
    </w:p>
    <w:p>
      <w:pPr>
        <w:pStyle w:val="5"/>
        <w:numPr>
          <w:ilvl w:val="0"/>
          <w:numId w:val="5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花生油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：锌、脑磷脂、卵磷脂。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：促进儿童智力发育，缓解老年人记忆衰退。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：煎炒烹炸（200℃以下）。</w:t>
      </w:r>
    </w:p>
    <w:p>
      <w:pPr>
        <w:pStyle w:val="5"/>
        <w:numPr>
          <w:ilvl w:val="0"/>
          <w:numId w:val="5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芝麻油（香油）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：维生素E、芝麻素。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：调节毛细血管功能，延缓衰老。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：凉拌、调味。</w:t>
      </w:r>
    </w:p>
    <w:p>
      <w:pPr>
        <w:pStyle w:val="5"/>
        <w:numPr>
          <w:ilvl w:val="0"/>
          <w:numId w:val="5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稻米油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：谷维素、植物甾醇、维生素E，脂肪酸比例接近1:1:1。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：降血脂、抗氧化，烟点254℃。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：煎炸、高温烹饪 。</w:t>
      </w:r>
    </w:p>
    <w:bookmarkEnd w:id="4"/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五其他特色油种"/>
      <w:r>
        <w:rPr>
          <w:color w:val="000000" w:themeColor="text1"/>
          <w14:textFill>
            <w14:solidFill>
              <w14:schemeClr w14:val="tx1"/>
            </w14:solidFill>
          </w14:textFill>
        </w:rPr>
        <w:t>棉籽油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：亚油酸（44.9%-55%）、棕榈酸（21.6%-24.8%）。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：精炼后降低胆固醇，但粗制油含棉酚（可致不育）。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：需与动物脂肪混合食用，精炼后适合日常烹饪 。</w:t>
      </w:r>
    </w:p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葡萄籽油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：原花青素、维生素E、亚油酸（70%）。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：抗氧化、保护血管内皮细胞，适合高温煎炸（烟点230℃）。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：煎炒、烘焙 。</w:t>
      </w:r>
    </w:p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红花籽油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：亚油酸（69%-79%）、维生素E。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：降低胆固醇，预防动脉硬化。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：凉拌、低温烹饪 。</w:t>
      </w:r>
    </w:p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棕榈油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：饱和脂肪酸（50%）、生育三烯酚（维生素E类）。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：稳定性高，工业上用于煎炸食品，但需控制摄入量。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：加工食品（如方便面、薯片） 。</w:t>
      </w:r>
    </w:p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色拉油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：精炼混合植物油（大豆、菜籽、葵花籽等）。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：高纯度、低杂质，适合多种烹饪方式。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：凉拌、炒菜、油炸 。</w:t>
      </w:r>
    </w:p>
    <w:p>
      <w:pPr>
        <w:pStyle w:val="5"/>
        <w:numPr>
          <w:ilvl w:val="0"/>
          <w:numId w:val="6"/>
        </w:num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米糠油</w:t>
      </w:r>
      <w:bookmarkStart w:id="6" w:name="_GoBack"/>
      <w:bookmarkEnd w:id="6"/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成分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：谷维素、维生素E、亚油酸（38%）。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功效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：降胆固醇、延缓衰老，烟点254℃。</w:t>
      </w:r>
    </w:p>
    <w:p>
      <w:pPr>
        <w:pStyle w:val="24"/>
        <w:numPr>
          <w:ilvl w:val="1"/>
          <w:numId w:val="2"/>
        </w:numP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适用场景</w: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t>：煎炸、烘焙 。</w:t>
      </w:r>
      <w:bookmarkEnd w:id="1"/>
      <w:bookmarkEnd w:id="5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•"/>
      <w:lvlJc w:val="left"/>
      <w:pPr>
        <w:ind w:left="720" w:hanging="480"/>
      </w:pPr>
    </w:lvl>
    <w:lvl w:ilvl="1" w:tentative="0">
      <w:start w:val="0"/>
      <w:numFmt w:val="bullet"/>
      <w:lvlText w:val="–"/>
      <w:lvlJc w:val="left"/>
      <w:pPr>
        <w:ind w:left="1440" w:hanging="480"/>
      </w:pPr>
    </w:lvl>
    <w:lvl w:ilvl="2" w:tentative="0">
      <w:start w:val="0"/>
      <w:numFmt w:val="bullet"/>
      <w:lvlText w:val="•"/>
      <w:lvlJc w:val="left"/>
      <w:pPr>
        <w:ind w:left="2160" w:hanging="480"/>
      </w:pPr>
    </w:lvl>
    <w:lvl w:ilvl="3" w:tentative="0">
      <w:start w:val="0"/>
      <w:numFmt w:val="bullet"/>
      <w:lvlText w:val="–"/>
      <w:lvlJc w:val="left"/>
      <w:pPr>
        <w:ind w:left="2880" w:hanging="480"/>
      </w:pPr>
    </w:lvl>
    <w:lvl w:ilvl="4" w:tentative="0">
      <w:start w:val="0"/>
      <w:numFmt w:val="bullet"/>
      <w:lvlText w:val="•"/>
      <w:lvlJc w:val="left"/>
      <w:pPr>
        <w:ind w:left="3600" w:hanging="480"/>
      </w:pPr>
    </w:lvl>
    <w:lvl w:ilvl="5" w:tentative="0">
      <w:start w:val="0"/>
      <w:numFmt w:val="bullet"/>
      <w:lvlText w:val="–"/>
      <w:lvlJc w:val="left"/>
      <w:pPr>
        <w:ind w:left="4320" w:hanging="480"/>
      </w:pPr>
    </w:lvl>
    <w:lvl w:ilvl="6" w:tentative="0">
      <w:start w:val="0"/>
      <w:numFmt w:val="bullet"/>
      <w:lvlText w:val="•"/>
      <w:lvlJc w:val="left"/>
      <w:pPr>
        <w:ind w:left="5040" w:hanging="480"/>
      </w:pPr>
    </w:lvl>
    <w:lvl w:ilvl="7" w:tentative="0">
      <w:start w:val="0"/>
      <w:numFmt w:val="bullet"/>
      <w:lvlText w:val="–"/>
      <w:lvlJc w:val="left"/>
      <w:pPr>
        <w:ind w:left="5760" w:hanging="480"/>
      </w:pPr>
    </w:lvl>
    <w:lvl w:ilvl="8" w:tentative="0">
      <w:start w:val="0"/>
      <w:numFmt w:val="bullet"/>
      <w:lvlText w:val="•"/>
      <w:lvlJc w:val="left"/>
      <w:pPr>
        <w:ind w:left="6480" w:hanging="480"/>
      </w:pPr>
    </w:lvl>
  </w:abstractNum>
  <w:abstractNum w:abstractNumId="1">
    <w:nsid w:val="00A99201"/>
    <w:multiLevelType w:val="multilevel"/>
    <w:tmpl w:val="00A99201"/>
    <w:lvl w:ilvl="0" w:tentative="0">
      <w:start w:val="1"/>
      <w:numFmt w:val="decimal"/>
      <w:lvlText w:val="%1."/>
      <w:lvlJc w:val="left"/>
      <w:pPr>
        <w:ind w:left="720" w:hanging="480"/>
      </w:pPr>
    </w:lvl>
    <w:lvl w:ilvl="1" w:tentative="0">
      <w:start w:val="1"/>
      <w:numFmt w:val="lowerLetter"/>
      <w:lvlText w:val="%2."/>
      <w:lvlJc w:val="left"/>
      <w:pPr>
        <w:ind w:left="1440" w:hanging="480"/>
      </w:pPr>
    </w:lvl>
    <w:lvl w:ilvl="2" w:tentative="0">
      <w:start w:val="1"/>
      <w:numFmt w:val="lowerRoman"/>
      <w:lvlText w:val="%3."/>
      <w:lvlJc w:val="lef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880" w:hanging="480"/>
      </w:pPr>
    </w:lvl>
    <w:lvl w:ilvl="4" w:tentative="0">
      <w:start w:val="1"/>
      <w:numFmt w:val="lowerLetter"/>
      <w:lvlText w:val="%5."/>
      <w:lvlJc w:val="left"/>
      <w:pPr>
        <w:ind w:left="3600" w:hanging="480"/>
      </w:pPr>
    </w:lvl>
    <w:lvl w:ilvl="5" w:tentative="0">
      <w:start w:val="1"/>
      <w:numFmt w:val="lowerRoman"/>
      <w:lvlText w:val="%6."/>
      <w:lvlJc w:val="left"/>
      <w:pPr>
        <w:ind w:left="4320" w:hanging="480"/>
      </w:pPr>
    </w:lvl>
    <w:lvl w:ilvl="6" w:tentative="0">
      <w:start w:val="1"/>
      <w:numFmt w:val="decimal"/>
      <w:lvlText w:val="%7."/>
      <w:lvlJc w:val="left"/>
      <w:pPr>
        <w:ind w:left="5040" w:hanging="480"/>
      </w:pPr>
    </w:lvl>
    <w:lvl w:ilvl="7" w:tentative="0">
      <w:start w:val="1"/>
      <w:numFmt w:val="lowerLetter"/>
      <w:lvlText w:val="%8."/>
      <w:lvlJc w:val="left"/>
      <w:pPr>
        <w:ind w:left="5760" w:hanging="480"/>
      </w:pPr>
    </w:lvl>
    <w:lvl w:ilvl="8" w:tentative="0">
      <w:start w:val="1"/>
      <w:numFmt w:val="lowerRoman"/>
      <w:lvlText w:val="%9."/>
      <w:lvlJc w:val="left"/>
      <w:pPr>
        <w:ind w:left="6480" w:hanging="480"/>
      </w:pPr>
    </w:lvl>
  </w:abstractNum>
  <w:abstractNum w:abstractNumId="2">
    <w:nsid w:val="00A99204"/>
    <w:multiLevelType w:val="multilevel"/>
    <w:tmpl w:val="00A99204"/>
    <w:lvl w:ilvl="0" w:tentative="0">
      <w:start w:val="4"/>
      <w:numFmt w:val="decimal"/>
      <w:lvlText w:val="%1."/>
      <w:lvlJc w:val="left"/>
      <w:pPr>
        <w:ind w:left="720" w:hanging="480"/>
      </w:pPr>
    </w:lvl>
    <w:lvl w:ilvl="1" w:tentative="0">
      <w:start w:val="4"/>
      <w:numFmt w:val="lowerLetter"/>
      <w:lvlText w:val="%2."/>
      <w:lvlJc w:val="left"/>
      <w:pPr>
        <w:ind w:left="1440" w:hanging="480"/>
      </w:pPr>
    </w:lvl>
    <w:lvl w:ilvl="2" w:tentative="0">
      <w:start w:val="4"/>
      <w:numFmt w:val="lowerRoman"/>
      <w:lvlText w:val="%3."/>
      <w:lvlJc w:val="left"/>
      <w:pPr>
        <w:ind w:left="2160" w:hanging="480"/>
      </w:pPr>
    </w:lvl>
    <w:lvl w:ilvl="3" w:tentative="0">
      <w:start w:val="4"/>
      <w:numFmt w:val="decimal"/>
      <w:lvlText w:val="%4."/>
      <w:lvlJc w:val="left"/>
      <w:pPr>
        <w:ind w:left="2880" w:hanging="480"/>
      </w:pPr>
    </w:lvl>
    <w:lvl w:ilvl="4" w:tentative="0">
      <w:start w:val="4"/>
      <w:numFmt w:val="lowerLetter"/>
      <w:lvlText w:val="%5."/>
      <w:lvlJc w:val="left"/>
      <w:pPr>
        <w:ind w:left="3600" w:hanging="480"/>
      </w:pPr>
    </w:lvl>
    <w:lvl w:ilvl="5" w:tentative="0">
      <w:start w:val="4"/>
      <w:numFmt w:val="lowerRoman"/>
      <w:lvlText w:val="%6."/>
      <w:lvlJc w:val="left"/>
      <w:pPr>
        <w:ind w:left="4320" w:hanging="480"/>
      </w:pPr>
    </w:lvl>
    <w:lvl w:ilvl="6" w:tentative="0">
      <w:start w:val="4"/>
      <w:numFmt w:val="decimal"/>
      <w:lvlText w:val="%7."/>
      <w:lvlJc w:val="left"/>
      <w:pPr>
        <w:ind w:left="5040" w:hanging="480"/>
      </w:pPr>
    </w:lvl>
    <w:lvl w:ilvl="7" w:tentative="0">
      <w:start w:val="4"/>
      <w:numFmt w:val="lowerLetter"/>
      <w:lvlText w:val="%8."/>
      <w:lvlJc w:val="left"/>
      <w:pPr>
        <w:ind w:left="5760" w:hanging="480"/>
      </w:pPr>
    </w:lvl>
    <w:lvl w:ilvl="8" w:tentative="0">
      <w:start w:val="4"/>
      <w:numFmt w:val="lowerRoman"/>
      <w:lvlText w:val="%9."/>
      <w:lvlJc w:val="left"/>
      <w:pPr>
        <w:ind w:left="6480" w:hanging="480"/>
      </w:pPr>
    </w:lvl>
  </w:abstractNum>
  <w:abstractNum w:abstractNumId="3">
    <w:nsid w:val="00A99207"/>
    <w:multiLevelType w:val="multilevel"/>
    <w:tmpl w:val="00A99207"/>
    <w:lvl w:ilvl="0" w:tentative="0">
      <w:start w:val="7"/>
      <w:numFmt w:val="decimal"/>
      <w:lvlText w:val="%1."/>
      <w:lvlJc w:val="left"/>
      <w:pPr>
        <w:ind w:left="720" w:hanging="480"/>
      </w:pPr>
    </w:lvl>
    <w:lvl w:ilvl="1" w:tentative="0">
      <w:start w:val="7"/>
      <w:numFmt w:val="lowerLetter"/>
      <w:lvlText w:val="%2."/>
      <w:lvlJc w:val="left"/>
      <w:pPr>
        <w:ind w:left="1440" w:hanging="480"/>
      </w:pPr>
    </w:lvl>
    <w:lvl w:ilvl="2" w:tentative="0">
      <w:start w:val="7"/>
      <w:numFmt w:val="lowerRoman"/>
      <w:lvlText w:val="%3."/>
      <w:lvlJc w:val="left"/>
      <w:pPr>
        <w:ind w:left="2160" w:hanging="480"/>
      </w:pPr>
    </w:lvl>
    <w:lvl w:ilvl="3" w:tentative="0">
      <w:start w:val="7"/>
      <w:numFmt w:val="decimal"/>
      <w:lvlText w:val="%4."/>
      <w:lvlJc w:val="left"/>
      <w:pPr>
        <w:ind w:left="2880" w:hanging="480"/>
      </w:pPr>
    </w:lvl>
    <w:lvl w:ilvl="4" w:tentative="0">
      <w:start w:val="7"/>
      <w:numFmt w:val="lowerLetter"/>
      <w:lvlText w:val="%5."/>
      <w:lvlJc w:val="left"/>
      <w:pPr>
        <w:ind w:left="3600" w:hanging="480"/>
      </w:pPr>
    </w:lvl>
    <w:lvl w:ilvl="5" w:tentative="0">
      <w:start w:val="7"/>
      <w:numFmt w:val="lowerRoman"/>
      <w:lvlText w:val="%6."/>
      <w:lvlJc w:val="left"/>
      <w:pPr>
        <w:ind w:left="4320" w:hanging="480"/>
      </w:pPr>
    </w:lvl>
    <w:lvl w:ilvl="6" w:tentative="0">
      <w:start w:val="7"/>
      <w:numFmt w:val="decimal"/>
      <w:lvlText w:val="%7."/>
      <w:lvlJc w:val="left"/>
      <w:pPr>
        <w:ind w:left="5040" w:hanging="480"/>
      </w:pPr>
    </w:lvl>
    <w:lvl w:ilvl="7" w:tentative="0">
      <w:start w:val="7"/>
      <w:numFmt w:val="lowerLetter"/>
      <w:lvlText w:val="%8."/>
      <w:lvlJc w:val="left"/>
      <w:pPr>
        <w:ind w:left="5760" w:hanging="480"/>
      </w:pPr>
    </w:lvl>
    <w:lvl w:ilvl="8" w:tentative="0">
      <w:start w:val="7"/>
      <w:numFmt w:val="lowerRoman"/>
      <w:lvlText w:val="%9."/>
      <w:lvlJc w:val="left"/>
      <w:pPr>
        <w:ind w:left="6480" w:hanging="480"/>
      </w:pPr>
    </w:lvl>
  </w:abstractNum>
  <w:abstractNum w:abstractNumId="4">
    <w:nsid w:val="0A992010"/>
    <w:multiLevelType w:val="multilevel"/>
    <w:tmpl w:val="0A992010"/>
    <w:lvl w:ilvl="0" w:tentative="0">
      <w:start w:val="10"/>
      <w:numFmt w:val="decimal"/>
      <w:lvlText w:val="%1."/>
      <w:lvlJc w:val="left"/>
      <w:pPr>
        <w:ind w:left="720" w:hanging="480"/>
      </w:pPr>
    </w:lvl>
    <w:lvl w:ilvl="1" w:tentative="0">
      <w:start w:val="10"/>
      <w:numFmt w:val="lowerLetter"/>
      <w:lvlText w:val="%2."/>
      <w:lvlJc w:val="left"/>
      <w:pPr>
        <w:ind w:left="1440" w:hanging="480"/>
      </w:pPr>
    </w:lvl>
    <w:lvl w:ilvl="2" w:tentative="0">
      <w:start w:val="10"/>
      <w:numFmt w:val="lowerRoman"/>
      <w:lvlText w:val="%3."/>
      <w:lvlJc w:val="left"/>
      <w:pPr>
        <w:ind w:left="2160" w:hanging="480"/>
      </w:pPr>
    </w:lvl>
    <w:lvl w:ilvl="3" w:tentative="0">
      <w:start w:val="10"/>
      <w:numFmt w:val="decimal"/>
      <w:lvlText w:val="%4."/>
      <w:lvlJc w:val="left"/>
      <w:pPr>
        <w:ind w:left="2880" w:hanging="480"/>
      </w:pPr>
    </w:lvl>
    <w:lvl w:ilvl="4" w:tentative="0">
      <w:start w:val="10"/>
      <w:numFmt w:val="lowerLetter"/>
      <w:lvlText w:val="%5."/>
      <w:lvlJc w:val="left"/>
      <w:pPr>
        <w:ind w:left="3600" w:hanging="480"/>
      </w:pPr>
    </w:lvl>
    <w:lvl w:ilvl="5" w:tentative="0">
      <w:start w:val="10"/>
      <w:numFmt w:val="lowerRoman"/>
      <w:lvlText w:val="%6."/>
      <w:lvlJc w:val="left"/>
      <w:pPr>
        <w:ind w:left="4320" w:hanging="480"/>
      </w:pPr>
    </w:lvl>
    <w:lvl w:ilvl="6" w:tentative="0">
      <w:start w:val="10"/>
      <w:numFmt w:val="decimal"/>
      <w:lvlText w:val="%7."/>
      <w:lvlJc w:val="left"/>
      <w:pPr>
        <w:ind w:left="5040" w:hanging="480"/>
      </w:pPr>
    </w:lvl>
    <w:lvl w:ilvl="7" w:tentative="0">
      <w:start w:val="10"/>
      <w:numFmt w:val="lowerLetter"/>
      <w:lvlText w:val="%8."/>
      <w:lvlJc w:val="left"/>
      <w:pPr>
        <w:ind w:left="5760" w:hanging="480"/>
      </w:pPr>
    </w:lvl>
    <w:lvl w:ilvl="8" w:tentative="0">
      <w:start w:val="10"/>
      <w:numFmt w:val="lowerRoman"/>
      <w:lvlText w:val="%9."/>
      <w:lvlJc w:val="left"/>
      <w:pPr>
        <w:ind w:left="6480" w:hanging="480"/>
      </w:pPr>
    </w:lvl>
  </w:abstractNum>
  <w:abstractNum w:abstractNumId="5">
    <w:nsid w:val="0A992013"/>
    <w:multiLevelType w:val="multilevel"/>
    <w:tmpl w:val="0A992013"/>
    <w:lvl w:ilvl="0" w:tentative="0">
      <w:start w:val="13"/>
      <w:numFmt w:val="decimal"/>
      <w:lvlText w:val="%1."/>
      <w:lvlJc w:val="left"/>
      <w:pPr>
        <w:ind w:left="720" w:hanging="480"/>
      </w:pPr>
    </w:lvl>
    <w:lvl w:ilvl="1" w:tentative="0">
      <w:start w:val="13"/>
      <w:numFmt w:val="lowerLetter"/>
      <w:lvlText w:val="%2."/>
      <w:lvlJc w:val="left"/>
      <w:pPr>
        <w:ind w:left="1440" w:hanging="480"/>
      </w:pPr>
    </w:lvl>
    <w:lvl w:ilvl="2" w:tentative="0">
      <w:start w:val="13"/>
      <w:numFmt w:val="lowerRoman"/>
      <w:lvlText w:val="%3."/>
      <w:lvlJc w:val="left"/>
      <w:pPr>
        <w:ind w:left="2160" w:hanging="480"/>
      </w:pPr>
    </w:lvl>
    <w:lvl w:ilvl="3" w:tentative="0">
      <w:start w:val="13"/>
      <w:numFmt w:val="decimal"/>
      <w:lvlText w:val="%4."/>
      <w:lvlJc w:val="left"/>
      <w:pPr>
        <w:ind w:left="2880" w:hanging="480"/>
      </w:pPr>
    </w:lvl>
    <w:lvl w:ilvl="4" w:tentative="0">
      <w:start w:val="13"/>
      <w:numFmt w:val="lowerLetter"/>
      <w:lvlText w:val="%5."/>
      <w:lvlJc w:val="left"/>
      <w:pPr>
        <w:ind w:left="3600" w:hanging="480"/>
      </w:pPr>
    </w:lvl>
    <w:lvl w:ilvl="5" w:tentative="0">
      <w:start w:val="13"/>
      <w:numFmt w:val="lowerRoman"/>
      <w:lvlText w:val="%6."/>
      <w:lvlJc w:val="left"/>
      <w:pPr>
        <w:ind w:left="4320" w:hanging="480"/>
      </w:pPr>
    </w:lvl>
    <w:lvl w:ilvl="6" w:tentative="0">
      <w:start w:val="13"/>
      <w:numFmt w:val="decimal"/>
      <w:lvlText w:val="%7."/>
      <w:lvlJc w:val="left"/>
      <w:pPr>
        <w:ind w:left="5040" w:hanging="480"/>
      </w:pPr>
    </w:lvl>
    <w:lvl w:ilvl="7" w:tentative="0">
      <w:start w:val="13"/>
      <w:numFmt w:val="lowerLetter"/>
      <w:lvlText w:val="%8."/>
      <w:lvlJc w:val="left"/>
      <w:pPr>
        <w:ind w:left="5760" w:hanging="480"/>
      </w:pPr>
    </w:lvl>
    <w:lvl w:ilvl="8" w:tentative="0">
      <w:start w:val="13"/>
      <w:numFmt w:val="lowerRoman"/>
      <w:lvlText w:val="%9.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5">
    <w:abstractNumId w:val="4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6">
    <w:abstractNumId w:val="5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YWFhNjdkZWUyMDUxZDIzZTk3ZTE0NDNiNzVmNjUzNjkifQ=="/>
    <w:docVar w:name="KSO_WPS_MARK_KEY" w:val="762d3283-850b-4cc9-9da0-d16c7a9096da"/>
  </w:docVars>
  <w:rsids>
    <w:rsidRoot w:val="00000000"/>
    <w:rsid w:val="01156025"/>
    <w:rsid w:val="12DF50B2"/>
    <w:rsid w:val="239D2E58"/>
    <w:rsid w:val="310A7DB3"/>
    <w:rsid w:val="4A916CC1"/>
    <w:rsid w:val="5CA81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 Title"/>
    <w:basedOn w:val="1"/>
    <w:next w:val="27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paragraph" w:customStyle="1" w:styleId="29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1">
    <w:name w:val="Definition Term"/>
    <w:basedOn w:val="1"/>
    <w:next w:val="32"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uiPriority w:val="0"/>
  </w:style>
  <w:style w:type="paragraph" w:customStyle="1" w:styleId="33">
    <w:name w:val="Table Caption"/>
    <w:basedOn w:val="12"/>
    <w:uiPriority w:val="0"/>
    <w:pPr>
      <w:keepNext/>
    </w:pPr>
  </w:style>
  <w:style w:type="paragraph" w:customStyle="1" w:styleId="34">
    <w:name w:val="Image Caption"/>
    <w:basedOn w:val="12"/>
    <w:uiPriority w:val="0"/>
  </w:style>
  <w:style w:type="paragraph" w:customStyle="1" w:styleId="35">
    <w:name w:val="Figure"/>
    <w:basedOn w:val="1"/>
    <w:qFormat/>
    <w:uiPriority w:val="0"/>
  </w:style>
  <w:style w:type="paragraph" w:customStyle="1" w:styleId="36">
    <w:name w:val="Captioned Figure"/>
    <w:basedOn w:val="35"/>
    <w:uiPriority w:val="0"/>
    <w:pPr>
      <w:keepNext/>
    </w:pPr>
  </w:style>
  <w:style w:type="character" w:customStyle="1" w:styleId="37">
    <w:name w:val="Verbatim Char"/>
    <w:basedOn w:val="21"/>
    <w:link w:val="38"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uiPriority w:val="0"/>
    <w:pPr>
      <w:shd w:val="clear" w:fill="F8F8F8"/>
      <w:wordWrap w:val="0"/>
    </w:pPr>
  </w:style>
  <w:style w:type="character" w:customStyle="1" w:styleId="39">
    <w:name w:val="Section Number"/>
    <w:basedOn w:val="21"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41">
    <w:name w:val="KeywordTok"/>
    <w:basedOn w:val="37"/>
    <w:uiPriority w:val="0"/>
    <w:rPr>
      <w:b/>
      <w:color w:val="204A87"/>
      <w:shd w:val="clear" w:fill="F8F8F8"/>
    </w:rPr>
  </w:style>
  <w:style w:type="character" w:customStyle="1" w:styleId="42">
    <w:name w:val="DataTypeTok"/>
    <w:basedOn w:val="37"/>
    <w:uiPriority w:val="0"/>
    <w:rPr>
      <w:color w:val="204A87"/>
      <w:shd w:val="clear" w:fill="F8F8F8"/>
    </w:rPr>
  </w:style>
  <w:style w:type="character" w:customStyle="1" w:styleId="43">
    <w:name w:val="DecValTok"/>
    <w:basedOn w:val="37"/>
    <w:uiPriority w:val="0"/>
    <w:rPr>
      <w:color w:val="0000CF"/>
      <w:shd w:val="clear" w:fill="F8F8F8"/>
    </w:rPr>
  </w:style>
  <w:style w:type="character" w:customStyle="1" w:styleId="44">
    <w:name w:val="BaseNTok"/>
    <w:basedOn w:val="37"/>
    <w:uiPriority w:val="0"/>
    <w:rPr>
      <w:color w:val="0000CF"/>
      <w:shd w:val="clear" w:fill="F8F8F8"/>
    </w:rPr>
  </w:style>
  <w:style w:type="character" w:customStyle="1" w:styleId="45">
    <w:name w:val="FloatTok"/>
    <w:basedOn w:val="37"/>
    <w:uiPriority w:val="0"/>
    <w:rPr>
      <w:color w:val="0000CF"/>
      <w:shd w:val="clear" w:fill="F8F8F8"/>
    </w:rPr>
  </w:style>
  <w:style w:type="character" w:customStyle="1" w:styleId="46">
    <w:name w:val="ConstantTok"/>
    <w:basedOn w:val="37"/>
    <w:uiPriority w:val="0"/>
    <w:rPr>
      <w:color w:val="8F5902"/>
      <w:shd w:val="clear" w:fill="F8F8F8"/>
    </w:rPr>
  </w:style>
  <w:style w:type="character" w:customStyle="1" w:styleId="47">
    <w:name w:val="CharTok"/>
    <w:basedOn w:val="37"/>
    <w:uiPriority w:val="0"/>
    <w:rPr>
      <w:color w:val="4E9A06"/>
      <w:shd w:val="clear" w:fill="F8F8F8"/>
    </w:rPr>
  </w:style>
  <w:style w:type="character" w:customStyle="1" w:styleId="48">
    <w:name w:val="SpecialCharTok"/>
    <w:basedOn w:val="37"/>
    <w:uiPriority w:val="0"/>
    <w:rPr>
      <w:b/>
      <w:color w:val="CE5C00"/>
      <w:shd w:val="clear" w:fill="F8F8F8"/>
    </w:rPr>
  </w:style>
  <w:style w:type="character" w:customStyle="1" w:styleId="49">
    <w:name w:val="StringTok"/>
    <w:basedOn w:val="37"/>
    <w:uiPriority w:val="0"/>
    <w:rPr>
      <w:color w:val="4E9A06"/>
      <w:shd w:val="clear" w:fill="F8F8F8"/>
    </w:rPr>
  </w:style>
  <w:style w:type="character" w:customStyle="1" w:styleId="50">
    <w:name w:val="VerbatimStringTok"/>
    <w:basedOn w:val="37"/>
    <w:uiPriority w:val="0"/>
    <w:rPr>
      <w:color w:val="4E9A06"/>
      <w:shd w:val="clear" w:fill="F8F8F8"/>
    </w:rPr>
  </w:style>
  <w:style w:type="character" w:customStyle="1" w:styleId="51">
    <w:name w:val="SpecialStringTok"/>
    <w:basedOn w:val="37"/>
    <w:uiPriority w:val="0"/>
    <w:rPr>
      <w:color w:val="4E9A06"/>
      <w:shd w:val="clear" w:fill="F8F8F8"/>
    </w:rPr>
  </w:style>
  <w:style w:type="character" w:customStyle="1" w:styleId="52">
    <w:name w:val="ImportTok"/>
    <w:basedOn w:val="37"/>
    <w:uiPriority w:val="0"/>
    <w:rPr>
      <w:shd w:val="clear" w:fill="F8F8F8"/>
    </w:rPr>
  </w:style>
  <w:style w:type="character" w:customStyle="1" w:styleId="53">
    <w:name w:val="CommentTok"/>
    <w:basedOn w:val="37"/>
    <w:uiPriority w:val="0"/>
    <w:rPr>
      <w:i/>
      <w:color w:val="8F5902"/>
      <w:shd w:val="clear" w:fill="F8F8F8"/>
    </w:rPr>
  </w:style>
  <w:style w:type="character" w:customStyle="1" w:styleId="54">
    <w:name w:val="DocumentationTok"/>
    <w:basedOn w:val="37"/>
    <w:uiPriority w:val="0"/>
    <w:rPr>
      <w:b/>
      <w:i/>
      <w:color w:val="8F5902"/>
      <w:shd w:val="clear" w:fill="F8F8F8"/>
    </w:rPr>
  </w:style>
  <w:style w:type="character" w:customStyle="1" w:styleId="55">
    <w:name w:val="AnnotationTok"/>
    <w:basedOn w:val="37"/>
    <w:uiPriority w:val="0"/>
    <w:rPr>
      <w:b/>
      <w:i/>
      <w:color w:val="8F5902"/>
      <w:shd w:val="clear" w:fill="F8F8F8"/>
    </w:rPr>
  </w:style>
  <w:style w:type="character" w:customStyle="1" w:styleId="56">
    <w:name w:val="CommentVarTok"/>
    <w:basedOn w:val="37"/>
    <w:uiPriority w:val="0"/>
    <w:rPr>
      <w:b/>
      <w:i/>
      <w:color w:val="8F5902"/>
      <w:shd w:val="clear" w:fill="F8F8F8"/>
    </w:rPr>
  </w:style>
  <w:style w:type="character" w:customStyle="1" w:styleId="57">
    <w:name w:val="OtherTok"/>
    <w:basedOn w:val="37"/>
    <w:uiPriority w:val="0"/>
    <w:rPr>
      <w:color w:val="8F5902"/>
      <w:shd w:val="clear" w:fill="F8F8F8"/>
    </w:rPr>
  </w:style>
  <w:style w:type="character" w:customStyle="1" w:styleId="58">
    <w:name w:val="FunctionTok"/>
    <w:basedOn w:val="37"/>
    <w:uiPriority w:val="0"/>
    <w:rPr>
      <w:b/>
      <w:color w:val="204A87"/>
      <w:shd w:val="clear" w:fill="F8F8F8"/>
    </w:rPr>
  </w:style>
  <w:style w:type="character" w:customStyle="1" w:styleId="59">
    <w:name w:val="VariableTok"/>
    <w:basedOn w:val="37"/>
    <w:uiPriority w:val="0"/>
    <w:rPr>
      <w:color w:val="000000"/>
      <w:shd w:val="clear" w:fill="F8F8F8"/>
    </w:rPr>
  </w:style>
  <w:style w:type="character" w:customStyle="1" w:styleId="60">
    <w:name w:val="ControlFlowTok"/>
    <w:basedOn w:val="37"/>
    <w:uiPriority w:val="0"/>
    <w:rPr>
      <w:b/>
      <w:color w:val="204A87"/>
      <w:shd w:val="clear" w:fill="F8F8F8"/>
    </w:rPr>
  </w:style>
  <w:style w:type="character" w:customStyle="1" w:styleId="61">
    <w:name w:val="OperatorTok"/>
    <w:basedOn w:val="37"/>
    <w:qFormat/>
    <w:uiPriority w:val="0"/>
    <w:rPr>
      <w:b/>
      <w:color w:val="CE5C00"/>
      <w:shd w:val="clear" w:fill="F8F8F8"/>
    </w:rPr>
  </w:style>
  <w:style w:type="character" w:customStyle="1" w:styleId="62">
    <w:name w:val="BuiltInTok"/>
    <w:basedOn w:val="37"/>
    <w:uiPriority w:val="0"/>
    <w:rPr>
      <w:shd w:val="clear" w:fill="F8F8F8"/>
    </w:rPr>
  </w:style>
  <w:style w:type="character" w:customStyle="1" w:styleId="63">
    <w:name w:val="ExtensionTok"/>
    <w:basedOn w:val="37"/>
    <w:qFormat/>
    <w:uiPriority w:val="0"/>
    <w:rPr>
      <w:shd w:val="clear" w:fill="F8F8F8"/>
    </w:rPr>
  </w:style>
  <w:style w:type="character" w:customStyle="1" w:styleId="64">
    <w:name w:val="PreprocessorTok"/>
    <w:basedOn w:val="37"/>
    <w:qFormat/>
    <w:uiPriority w:val="0"/>
    <w:rPr>
      <w:i/>
      <w:color w:val="8F5902"/>
      <w:shd w:val="clear" w:fill="F8F8F8"/>
    </w:rPr>
  </w:style>
  <w:style w:type="character" w:customStyle="1" w:styleId="65">
    <w:name w:val="AttributeTok"/>
    <w:basedOn w:val="37"/>
    <w:uiPriority w:val="0"/>
    <w:rPr>
      <w:color w:val="204A87"/>
      <w:shd w:val="clear" w:fill="F8F8F8"/>
    </w:rPr>
  </w:style>
  <w:style w:type="character" w:customStyle="1" w:styleId="66">
    <w:name w:val="RegionMarkerTok"/>
    <w:basedOn w:val="37"/>
    <w:uiPriority w:val="0"/>
    <w:rPr>
      <w:shd w:val="clear" w:fill="F8F8F8"/>
    </w:rPr>
  </w:style>
  <w:style w:type="character" w:customStyle="1" w:styleId="67">
    <w:name w:val="InformationTok"/>
    <w:basedOn w:val="37"/>
    <w:qFormat/>
    <w:uiPriority w:val="0"/>
    <w:rPr>
      <w:b/>
      <w:i/>
      <w:color w:val="8F5902"/>
      <w:shd w:val="clear" w:fill="F8F8F8"/>
    </w:rPr>
  </w:style>
  <w:style w:type="character" w:customStyle="1" w:styleId="68">
    <w:name w:val="WarningTok"/>
    <w:basedOn w:val="37"/>
    <w:uiPriority w:val="0"/>
    <w:rPr>
      <w:b/>
      <w:i/>
      <w:color w:val="8F5902"/>
      <w:shd w:val="clear" w:fill="F8F8F8"/>
    </w:rPr>
  </w:style>
  <w:style w:type="character" w:customStyle="1" w:styleId="69">
    <w:name w:val="AlertTok"/>
    <w:basedOn w:val="37"/>
    <w:uiPriority w:val="0"/>
    <w:rPr>
      <w:color w:val="EF2929"/>
      <w:shd w:val="clear" w:fill="F8F8F8"/>
    </w:rPr>
  </w:style>
  <w:style w:type="character" w:customStyle="1" w:styleId="70">
    <w:name w:val="ErrorTok"/>
    <w:basedOn w:val="37"/>
    <w:qFormat/>
    <w:uiPriority w:val="0"/>
    <w:rPr>
      <w:b/>
      <w:color w:val="A40000"/>
      <w:shd w:val="clear" w:fill="F8F8F8"/>
    </w:rPr>
  </w:style>
  <w:style w:type="character" w:customStyle="1" w:styleId="71">
    <w:name w:val="NormalTok"/>
    <w:basedOn w:val="37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1101</Characters>
  <Lines>12</Lines>
  <Paragraphs>8</Paragraphs>
  <TotalTime>9</TotalTime>
  <ScaleCrop>false</ScaleCrop>
  <LinksUpToDate>false</LinksUpToDate>
  <CharactersWithSpaces>1109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2025-04-21T08:50:00Z</dcterms:created>
  <dc:creator>Administrator</dc:creator>
  <cp:lastModifiedBy>Administrator</cp:lastModifiedBy>
  <dcterms:modified xsi:type="dcterms:W3CDTF">2025-04-21T09:10:57Z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D47E83A0ED204B65B2DF893F52225944</vt:lpwstr>
  </property>
</Properties>
</file>